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F8C646">
      <w:pPr>
        <w:spacing w:line="400" w:lineRule="exact"/>
        <w:jc w:val="center"/>
        <w:rPr>
          <w:rFonts w:ascii="方正小标宋简体" w:eastAsia="方正小标宋简体"/>
          <w:bCs/>
          <w:sz w:val="36"/>
          <w:szCs w:val="21"/>
        </w:rPr>
      </w:pPr>
    </w:p>
    <w:p w14:paraId="4BF47698">
      <w:pPr>
        <w:spacing w:before="217" w:beforeLines="50" w:after="217" w:afterLines="50" w:line="400" w:lineRule="exact"/>
        <w:jc w:val="center"/>
        <w:rPr>
          <w:rFonts w:ascii="方正小标宋简体" w:eastAsia="方正小标宋简体"/>
          <w:bCs/>
          <w:szCs w:val="21"/>
        </w:rPr>
      </w:pPr>
      <w:r>
        <w:rPr>
          <w:rFonts w:hint="eastAsia" w:ascii="方正小标宋简体" w:eastAsia="方正小标宋简体"/>
          <w:bCs/>
          <w:sz w:val="36"/>
          <w:szCs w:val="21"/>
        </w:rPr>
        <w:t>202</w:t>
      </w:r>
      <w:r>
        <w:rPr>
          <w:rFonts w:hint="eastAsia" w:ascii="方正小标宋简体" w:eastAsia="方正小标宋简体"/>
          <w:bCs/>
          <w:sz w:val="36"/>
          <w:szCs w:val="21"/>
          <w:lang w:val="en-US" w:eastAsia="zh-CN"/>
        </w:rPr>
        <w:t>6</w:t>
      </w:r>
      <w:r>
        <w:rPr>
          <w:rFonts w:hint="eastAsia" w:ascii="方正小标宋简体" w:eastAsia="方正小标宋简体"/>
          <w:bCs/>
          <w:sz w:val="36"/>
          <w:szCs w:val="21"/>
        </w:rPr>
        <w:t>年度湖北省自然科学奖提名公示信息</w:t>
      </w:r>
    </w:p>
    <w:tbl>
      <w:tblPr>
        <w:tblStyle w:val="9"/>
        <w:tblW w:w="13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5"/>
        <w:gridCol w:w="1559"/>
        <w:gridCol w:w="3004"/>
        <w:gridCol w:w="495"/>
        <w:gridCol w:w="975"/>
        <w:gridCol w:w="1020"/>
        <w:gridCol w:w="960"/>
        <w:gridCol w:w="2175"/>
        <w:gridCol w:w="660"/>
        <w:gridCol w:w="668"/>
        <w:gridCol w:w="1425"/>
      </w:tblGrid>
      <w:tr w14:paraId="788C3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224" w:type="dxa"/>
            <w:gridSpan w:val="2"/>
            <w:vAlign w:val="center"/>
          </w:tcPr>
          <w:p w14:paraId="564158A8">
            <w:pPr>
              <w:spacing w:line="240" w:lineRule="exact"/>
              <w:jc w:val="center"/>
              <w:rPr>
                <w:rFonts w:ascii="黑体" w:hAnsi="黑体" w:eastAsia="黑体" w:cs="黑体"/>
                <w:sz w:val="22"/>
              </w:rPr>
            </w:pPr>
            <w:r>
              <w:rPr>
                <w:rFonts w:hint="eastAsia" w:ascii="黑体" w:hAnsi="黑体" w:eastAsia="黑体" w:cs="黑体"/>
                <w:sz w:val="22"/>
              </w:rPr>
              <w:t>项目名称</w:t>
            </w:r>
          </w:p>
        </w:tc>
        <w:tc>
          <w:tcPr>
            <w:tcW w:w="11382" w:type="dxa"/>
            <w:gridSpan w:val="9"/>
            <w:vAlign w:val="center"/>
          </w:tcPr>
          <w:p w14:paraId="2996816C">
            <w:pPr>
              <w:spacing w:line="240" w:lineRule="exact"/>
              <w:jc w:val="center"/>
              <w:rPr>
                <w:rFonts w:ascii="黑体" w:hAnsi="黑体" w:eastAsia="黑体" w:cs="黑体"/>
                <w:sz w:val="21"/>
                <w:szCs w:val="21"/>
              </w:rPr>
            </w:pPr>
            <w:r>
              <w:rPr>
                <w:rFonts w:hint="eastAsia" w:ascii="黑体" w:hAnsi="黑体" w:eastAsia="黑体" w:cs="黑体"/>
                <w:sz w:val="21"/>
                <w:szCs w:val="21"/>
              </w:rPr>
              <w:t>细胞自噬与肿瘤微环境</w:t>
            </w:r>
            <w:r>
              <w:rPr>
                <w:rFonts w:hint="eastAsia" w:ascii="黑体" w:hAnsi="黑体" w:eastAsia="黑体" w:cs="黑体"/>
                <w:sz w:val="21"/>
                <w:szCs w:val="21"/>
                <w:lang w:eastAsia="zh-CN"/>
              </w:rPr>
              <w:t>互作调控</w:t>
            </w:r>
            <w:r>
              <w:rPr>
                <w:rFonts w:hint="eastAsia" w:ascii="黑体" w:hAnsi="黑体" w:eastAsia="黑体" w:cs="黑体"/>
                <w:sz w:val="21"/>
                <w:szCs w:val="21"/>
              </w:rPr>
              <w:t>胰腺癌发生的分子机制</w:t>
            </w:r>
          </w:p>
        </w:tc>
      </w:tr>
      <w:tr w14:paraId="5AAC2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224" w:type="dxa"/>
            <w:gridSpan w:val="2"/>
            <w:vAlign w:val="center"/>
          </w:tcPr>
          <w:p w14:paraId="213C74EF">
            <w:pPr>
              <w:spacing w:line="240" w:lineRule="exact"/>
              <w:jc w:val="center"/>
              <w:rPr>
                <w:rFonts w:ascii="黑体" w:hAnsi="黑体" w:eastAsia="黑体" w:cs="黑体"/>
                <w:sz w:val="22"/>
              </w:rPr>
            </w:pPr>
            <w:r>
              <w:rPr>
                <w:rFonts w:hint="eastAsia" w:ascii="黑体" w:hAnsi="黑体" w:eastAsia="黑体" w:cs="黑体"/>
                <w:sz w:val="22"/>
              </w:rPr>
              <w:t>提名单位</w:t>
            </w:r>
          </w:p>
        </w:tc>
        <w:tc>
          <w:tcPr>
            <w:tcW w:w="11382" w:type="dxa"/>
            <w:gridSpan w:val="9"/>
            <w:vAlign w:val="center"/>
          </w:tcPr>
          <w:p w14:paraId="2ACA5AE2">
            <w:pPr>
              <w:spacing w:line="240" w:lineRule="exact"/>
              <w:jc w:val="center"/>
              <w:rPr>
                <w:rFonts w:hint="default" w:eastAsia="仿宋_GB2312"/>
                <w:sz w:val="21"/>
                <w:szCs w:val="21"/>
                <w:lang w:val="en-US" w:eastAsia="zh-CN"/>
              </w:rPr>
            </w:pPr>
            <w:r>
              <w:rPr>
                <w:rFonts w:hint="eastAsia"/>
                <w:sz w:val="21"/>
                <w:szCs w:val="21"/>
                <w:lang w:val="en-US" w:eastAsia="zh-CN"/>
              </w:rPr>
              <w:t>湖北省教育厅</w:t>
            </w:r>
          </w:p>
        </w:tc>
      </w:tr>
      <w:tr w14:paraId="5FE7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3" w:hRule="atLeast"/>
          <w:jc w:val="center"/>
        </w:trPr>
        <w:tc>
          <w:tcPr>
            <w:tcW w:w="2224" w:type="dxa"/>
            <w:gridSpan w:val="2"/>
            <w:vAlign w:val="center"/>
          </w:tcPr>
          <w:p w14:paraId="23945E8D">
            <w:pPr>
              <w:spacing w:line="240" w:lineRule="exact"/>
              <w:jc w:val="center"/>
              <w:rPr>
                <w:rFonts w:ascii="黑体" w:hAnsi="黑体" w:eastAsia="黑体" w:cs="黑体"/>
                <w:sz w:val="22"/>
              </w:rPr>
            </w:pPr>
            <w:r>
              <w:rPr>
                <w:rFonts w:hint="eastAsia" w:ascii="黑体" w:hAnsi="黑体" w:eastAsia="黑体" w:cs="黑体"/>
                <w:sz w:val="22"/>
              </w:rPr>
              <w:t>提名意见</w:t>
            </w:r>
          </w:p>
        </w:tc>
        <w:tc>
          <w:tcPr>
            <w:tcW w:w="11382" w:type="dxa"/>
            <w:gridSpan w:val="9"/>
            <w:vAlign w:val="center"/>
          </w:tcPr>
          <w:p w14:paraId="58EE3956">
            <w:pPr>
              <w:spacing w:line="240" w:lineRule="exact"/>
              <w:ind w:firstLine="420" w:firstLineChars="200"/>
              <w:jc w:val="center"/>
              <w:rPr>
                <w:rFonts w:ascii="宋体" w:hAnsi="宋体" w:cs="Times New Roman"/>
                <w:bCs/>
                <w:color w:val="000000"/>
                <w:sz w:val="21"/>
                <w:szCs w:val="21"/>
                <w:lang w:bidi="ar"/>
              </w:rPr>
            </w:pPr>
            <w:r>
              <w:rPr>
                <w:rFonts w:hint="eastAsia" w:cs="Times New Roman"/>
                <w:bCs/>
                <w:color w:val="000000"/>
                <w:sz w:val="21"/>
                <w:szCs w:val="21"/>
                <w:lang w:eastAsia="zh-CN" w:bidi="ar"/>
              </w:rPr>
              <w:t>提名</w:t>
            </w:r>
            <w:r>
              <w:rPr>
                <w:rFonts w:hint="eastAsia" w:cs="Times New Roman"/>
                <w:bCs/>
                <w:color w:val="000000"/>
                <w:sz w:val="21"/>
                <w:szCs w:val="21"/>
                <w:lang w:bidi="ar"/>
              </w:rPr>
              <w:t>该项目为202</w:t>
            </w:r>
            <w:r>
              <w:rPr>
                <w:rFonts w:hint="eastAsia" w:cs="Times New Roman"/>
                <w:bCs/>
                <w:color w:val="000000"/>
                <w:sz w:val="21"/>
                <w:szCs w:val="21"/>
                <w:lang w:val="en-US" w:eastAsia="zh-CN" w:bidi="ar"/>
              </w:rPr>
              <w:t>6</w:t>
            </w:r>
            <w:r>
              <w:rPr>
                <w:rFonts w:hint="eastAsia" w:cs="Times New Roman"/>
                <w:bCs/>
                <w:color w:val="000000"/>
                <w:sz w:val="21"/>
                <w:szCs w:val="21"/>
                <w:lang w:bidi="ar"/>
              </w:rPr>
              <w:t>年度湖北省自然科学奖一等奖</w:t>
            </w:r>
          </w:p>
        </w:tc>
      </w:tr>
      <w:tr w14:paraId="2F15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224" w:type="dxa"/>
            <w:gridSpan w:val="2"/>
            <w:vAlign w:val="center"/>
          </w:tcPr>
          <w:p w14:paraId="2AA4AACF">
            <w:pPr>
              <w:spacing w:line="240" w:lineRule="exact"/>
              <w:jc w:val="center"/>
              <w:rPr>
                <w:sz w:val="22"/>
              </w:rPr>
            </w:pPr>
            <w:r>
              <w:rPr>
                <w:rFonts w:hint="eastAsia" w:ascii="黑体" w:hAnsi="黑体" w:eastAsia="黑体" w:cs="黑体"/>
                <w:sz w:val="22"/>
              </w:rPr>
              <w:t>项目简介</w:t>
            </w:r>
          </w:p>
        </w:tc>
        <w:tc>
          <w:tcPr>
            <w:tcW w:w="11382" w:type="dxa"/>
            <w:gridSpan w:val="9"/>
            <w:vAlign w:val="center"/>
          </w:tcPr>
          <w:p w14:paraId="65C2643D">
            <w:pPr>
              <w:keepNext w:val="0"/>
              <w:keepLines w:val="0"/>
              <w:pageBreakBefore w:val="0"/>
              <w:widowControl/>
              <w:kinsoku/>
              <w:wordWrap/>
              <w:overflowPunct/>
              <w:topLinePunct w:val="0"/>
              <w:autoSpaceDE/>
              <w:autoSpaceDN/>
              <w:bidi w:val="0"/>
              <w:adjustRightInd w:val="0"/>
              <w:snapToGrid w:val="0"/>
              <w:spacing w:line="340" w:lineRule="exact"/>
              <w:ind w:firstLine="420" w:firstLineChars="200"/>
              <w:textAlignment w:val="auto"/>
              <w:rPr>
                <w:rFonts w:ascii="仿宋_GB2312" w:hAnsi="Times New Roman" w:eastAsia="仿宋_GB2312" w:cs="Times New Roman"/>
                <w:color w:val="auto"/>
                <w:sz w:val="21"/>
                <w:szCs w:val="15"/>
              </w:rPr>
            </w:pPr>
            <w:r>
              <w:rPr>
                <w:rFonts w:hint="eastAsia" w:ascii="仿宋_GB2312" w:hAnsi="Times New Roman" w:eastAsia="仿宋_GB2312" w:cs="Times New Roman"/>
                <w:color w:val="auto"/>
                <w:sz w:val="21"/>
                <w:szCs w:val="15"/>
              </w:rPr>
              <w:t>胰腺癌被称为癌中之王，是致死率最高的恶性肿瘤之一。本项目围绕</w:t>
            </w:r>
            <w:r>
              <w:rPr>
                <w:rFonts w:hint="eastAsia" w:ascii="仿宋_GB2312" w:hAnsi="Times New Roman" w:eastAsia="仿宋_GB2312" w:cs="Times New Roman"/>
                <w:b/>
                <w:bCs/>
                <w:color w:val="auto"/>
                <w:sz w:val="21"/>
                <w:szCs w:val="15"/>
              </w:rPr>
              <w:t>自噬精准调控</w:t>
            </w:r>
            <w:r>
              <w:rPr>
                <w:rFonts w:hint="eastAsia" w:ascii="仿宋_GB2312" w:hAnsi="Times New Roman" w:eastAsia="仿宋_GB2312" w:cs="Times New Roman"/>
                <w:color w:val="auto"/>
                <w:sz w:val="21"/>
                <w:szCs w:val="15"/>
              </w:rPr>
              <w:t>、</w:t>
            </w:r>
            <w:r>
              <w:rPr>
                <w:rFonts w:hint="eastAsia" w:ascii="仿宋_GB2312" w:hAnsi="Times New Roman" w:eastAsia="仿宋_GB2312" w:cs="Times New Roman"/>
                <w:b/>
                <w:bCs/>
                <w:color w:val="auto"/>
                <w:sz w:val="21"/>
                <w:szCs w:val="15"/>
              </w:rPr>
              <w:t>信号通路协同</w:t>
            </w:r>
            <w:r>
              <w:rPr>
                <w:rFonts w:hint="eastAsia" w:ascii="仿宋_GB2312" w:hAnsi="Times New Roman" w:eastAsia="仿宋_GB2312" w:cs="Times New Roman"/>
                <w:color w:val="auto"/>
                <w:sz w:val="21"/>
                <w:szCs w:val="15"/>
              </w:rPr>
              <w:t>及</w:t>
            </w:r>
            <w:r>
              <w:rPr>
                <w:rFonts w:hint="eastAsia" w:ascii="仿宋_GB2312" w:hAnsi="Times New Roman" w:eastAsia="仿宋_GB2312" w:cs="Times New Roman"/>
                <w:b/>
                <w:bCs/>
                <w:color w:val="auto"/>
                <w:sz w:val="21"/>
                <w:szCs w:val="15"/>
              </w:rPr>
              <w:t>微环境代谢供给机制</w:t>
            </w:r>
            <w:r>
              <w:rPr>
                <w:rFonts w:hint="eastAsia" w:ascii="仿宋_GB2312" w:hAnsi="Times New Roman" w:eastAsia="仿宋_GB2312" w:cs="Times New Roman"/>
                <w:color w:val="auto"/>
                <w:sz w:val="21"/>
                <w:szCs w:val="15"/>
              </w:rPr>
              <w:t>等关键科学问题，解析自噬在胰腺癌发生发展中的功能定位及其在维持胰腺癌恶性稳态中的关键作用。项目组在13年的研究中取得以下三项主要创新发现：</w:t>
            </w:r>
          </w:p>
          <w:p w14:paraId="6D8C66E7">
            <w:pPr>
              <w:keepNext w:val="0"/>
              <w:keepLines w:val="0"/>
              <w:pageBreakBefore w:val="0"/>
              <w:widowControl/>
              <w:kinsoku/>
              <w:wordWrap/>
              <w:overflowPunct/>
              <w:topLinePunct w:val="0"/>
              <w:autoSpaceDE/>
              <w:autoSpaceDN/>
              <w:bidi w:val="0"/>
              <w:adjustRightInd w:val="0"/>
              <w:snapToGrid w:val="0"/>
              <w:spacing w:line="340" w:lineRule="exact"/>
              <w:ind w:left="-54" w:leftChars="-17" w:firstLine="428" w:firstLineChars="203"/>
              <w:textAlignment w:val="auto"/>
              <w:rPr>
                <w:rFonts w:ascii="仿宋_GB2312" w:hAnsi="Times New Roman" w:eastAsia="仿宋_GB2312" w:cs="Times New Roman"/>
                <w:color w:val="auto"/>
                <w:sz w:val="21"/>
                <w:szCs w:val="15"/>
              </w:rPr>
            </w:pPr>
            <w:r>
              <w:rPr>
                <w:rFonts w:hint="eastAsia" w:ascii="仿宋_GB2312" w:hAnsi="Times New Roman" w:eastAsia="仿宋_GB2312" w:cs="Times New Roman"/>
                <w:b/>
                <w:bCs/>
                <w:color w:val="auto"/>
                <w:sz w:val="21"/>
                <w:szCs w:val="15"/>
              </w:rPr>
              <w:t>（1）揭示了自噬流受激酶、支架及应激转录因子直接调控机制。</w:t>
            </w:r>
            <w:r>
              <w:rPr>
                <w:rFonts w:hint="eastAsia" w:ascii="仿宋_GB2312" w:hAnsi="Times New Roman" w:eastAsia="仿宋_GB2312" w:cs="Times New Roman"/>
                <w:color w:val="auto"/>
                <w:sz w:val="21"/>
                <w:szCs w:val="15"/>
              </w:rPr>
              <w:t>项目揭示了FoxO1/XBP</w:t>
            </w:r>
            <w:r>
              <w:rPr>
                <w:rFonts w:ascii="仿宋_GB2312" w:hAnsi="Times New Roman" w:eastAsia="仿宋_GB2312" w:cs="Times New Roman"/>
                <w:color w:val="auto"/>
                <w:sz w:val="21"/>
                <w:szCs w:val="15"/>
              </w:rPr>
              <w:t>-</w:t>
            </w:r>
            <w:r>
              <w:rPr>
                <w:rFonts w:hint="eastAsia" w:ascii="仿宋_GB2312" w:hAnsi="Times New Roman" w:eastAsia="仿宋_GB2312" w:cs="Times New Roman"/>
                <w:color w:val="auto"/>
                <w:sz w:val="21"/>
                <w:szCs w:val="15"/>
              </w:rPr>
              <w:t>1u介导的蛋白稳态调控决定自噬进入持续高通量状态，阐明了STYK1、 TSPAN1、RUNDC1、DRAM1等在自噬起始及自噬体-溶酶体融合环节限制性调控机制。美国国家科学院院士Alexander Y、美国艺术与科学院院士Daniel J. Klionsky、欧洲科学院院士Richard G. Pestell以及美国国家医学院院士Toren Finkel等多位国际顶尖学者分别在Nature、Nature Immunology、Nature Reviews Molecular Cell Biology等权威期刊引用并明确指出，该工作揭示了“细胞质FoxO1能够不依赖于其转录活性而通过直接结合ATG7来调控自噬并抑制肿瘤生长”这一全新范式，并将其列为自噬转录与翻译后调控领域的关键进展之一。</w:t>
            </w:r>
          </w:p>
          <w:p w14:paraId="3E549797">
            <w:pPr>
              <w:keepNext w:val="0"/>
              <w:keepLines w:val="0"/>
              <w:pageBreakBefore w:val="0"/>
              <w:widowControl/>
              <w:kinsoku/>
              <w:wordWrap/>
              <w:overflowPunct/>
              <w:topLinePunct w:val="0"/>
              <w:autoSpaceDE/>
              <w:autoSpaceDN/>
              <w:bidi w:val="0"/>
              <w:adjustRightInd w:val="0"/>
              <w:snapToGrid w:val="0"/>
              <w:spacing w:line="340" w:lineRule="exact"/>
              <w:ind w:firstLine="422" w:firstLineChars="200"/>
              <w:textAlignment w:val="auto"/>
              <w:rPr>
                <w:rFonts w:ascii="仿宋_GB2312" w:hAnsi="Times New Roman" w:eastAsia="仿宋_GB2312" w:cs="Times New Roman"/>
                <w:color w:val="auto"/>
                <w:sz w:val="21"/>
                <w:szCs w:val="15"/>
              </w:rPr>
            </w:pPr>
            <w:r>
              <w:rPr>
                <w:rFonts w:hint="eastAsia" w:ascii="仿宋_GB2312" w:hAnsi="Times New Roman" w:eastAsia="仿宋_GB2312" w:cs="Times New Roman"/>
                <w:b/>
                <w:bCs/>
                <w:color w:val="auto"/>
                <w:sz w:val="21"/>
                <w:szCs w:val="15"/>
              </w:rPr>
              <w:t>（2）揭示了Wnt信号异常激活与自噬协同维持胰腺癌耐药与进展机制。</w:t>
            </w:r>
            <w:r>
              <w:rPr>
                <w:rFonts w:hint="eastAsia" w:ascii="仿宋_GB2312" w:hAnsi="Times New Roman" w:eastAsia="仿宋_GB2312" w:cs="Times New Roman"/>
                <w:color w:val="auto"/>
                <w:sz w:val="21"/>
                <w:szCs w:val="15"/>
              </w:rPr>
              <w:t>研究揭示了FAM83A、PTTG1 等癌基因通过影响β-catenin 稳定性、核内转录复合体形成及正反馈回路构建，实现Wnt/β-catenin</w:t>
            </w:r>
            <w:r>
              <w:rPr>
                <w:rFonts w:ascii="仿宋_GB2312" w:hAnsi="Times New Roman" w:eastAsia="仿宋_GB2312" w:cs="Times New Roman"/>
                <w:color w:val="auto"/>
                <w:sz w:val="21"/>
                <w:szCs w:val="15"/>
              </w:rPr>
              <w:t>-MYC</w:t>
            </w:r>
            <w:r>
              <w:rPr>
                <w:rFonts w:hint="eastAsia" w:ascii="仿宋_GB2312" w:hAnsi="Times New Roman" w:eastAsia="仿宋_GB2312" w:cs="Times New Roman"/>
                <w:color w:val="auto"/>
                <w:sz w:val="21"/>
                <w:szCs w:val="15"/>
              </w:rPr>
              <w:t>信号的持续激活，从而保障胰腺癌恶性状态的长期维持；进一步解析了lncRNA PVT1并联Wnt信号与自噬活性，驱动吉西他滨耐药形成。美国国家科学院院士朱健康、美国艺术与科学院院士Daniel J. Klionsky、中国工程院院士郑树森、李兰娟、中国科学院院士赫捷等国际顶尖学者分别在Signal Transduction and Targeted Therapy、Journal of Cell Science等期刊引用并指出关于PVT1调控自噬介导胰腺癌化疗耐药的核心发现，深化了自噬基因表达调控与胰腺癌自噬网络的研究，同时将FAM83A列为促进癌症进展的关键基因之一。</w:t>
            </w:r>
          </w:p>
          <w:p w14:paraId="2F549419">
            <w:pPr>
              <w:keepNext w:val="0"/>
              <w:keepLines w:val="0"/>
              <w:pageBreakBefore w:val="0"/>
              <w:widowControl/>
              <w:kinsoku/>
              <w:wordWrap/>
              <w:overflowPunct/>
              <w:topLinePunct w:val="0"/>
              <w:autoSpaceDE/>
              <w:autoSpaceDN/>
              <w:bidi w:val="0"/>
              <w:adjustRightInd w:val="0"/>
              <w:snapToGrid w:val="0"/>
              <w:spacing w:line="340" w:lineRule="exact"/>
              <w:ind w:firstLine="422" w:firstLineChars="200"/>
              <w:textAlignment w:val="auto"/>
              <w:rPr>
                <w:sz w:val="21"/>
                <w:szCs w:val="21"/>
              </w:rPr>
            </w:pPr>
            <w:r>
              <w:rPr>
                <w:rFonts w:hint="eastAsia" w:ascii="仿宋_GB2312" w:hAnsi="Times New Roman" w:eastAsia="仿宋_GB2312" w:cs="Times New Roman"/>
                <w:b/>
                <w:bCs/>
                <w:color w:val="auto"/>
                <w:sz w:val="21"/>
                <w:szCs w:val="15"/>
              </w:rPr>
              <w:t>（3）揭示了选择性自噬重塑C</w:t>
            </w:r>
            <w:r>
              <w:rPr>
                <w:rFonts w:ascii="仿宋_GB2312" w:hAnsi="Times New Roman" w:eastAsia="仿宋_GB2312" w:cs="Times New Roman"/>
                <w:b/>
                <w:bCs/>
                <w:color w:val="auto"/>
                <w:sz w:val="21"/>
                <w:szCs w:val="15"/>
              </w:rPr>
              <w:t>AF</w:t>
            </w:r>
            <w:r>
              <w:rPr>
                <w:rFonts w:hint="eastAsia" w:ascii="仿宋_GB2312" w:hAnsi="Times New Roman" w:eastAsia="仿宋_GB2312" w:cs="Times New Roman"/>
                <w:b/>
                <w:bCs/>
                <w:color w:val="auto"/>
                <w:sz w:val="21"/>
                <w:szCs w:val="15"/>
              </w:rPr>
              <w:t>细胞代谢底物供给并维持胰腺癌适应性机制。</w:t>
            </w:r>
            <w:r>
              <w:rPr>
                <w:rFonts w:hint="eastAsia" w:ascii="仿宋_GB2312" w:hAnsi="Times New Roman" w:eastAsia="仿宋_GB2312" w:cs="Times New Roman"/>
                <w:color w:val="auto"/>
                <w:sz w:val="21"/>
                <w:szCs w:val="15"/>
              </w:rPr>
              <w:t>研究发现胰腺癌相关成纤维细胞（CAF）在营养压力下优先启动NUFIP1依赖的核糖体自噬，形成稳定的核苷供给池，直接支撑肿瘤细胞MYC依赖的代谢与转录活动；并在体内水平证实抑制CAF选择性自噬可引发肿瘤微环境代谢功能的系统性重塑。美国国家科学院院士Michael Karin、美国国家医学院院士Matthew G. Vander Heiden及德国国家科学院院士Christiane J. Bruns等国际顶尖学者分别在Nature Cancer、Trends in Cancer及Nature Cell Biology等期刊引用，认为我们得研究为理解肿瘤-基质互作提供了新视角，并为开发针对肿瘤微环境的联合治疗策略提供了依据。</w:t>
            </w:r>
          </w:p>
        </w:tc>
      </w:tr>
      <w:tr w14:paraId="6092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2224" w:type="dxa"/>
            <w:gridSpan w:val="2"/>
            <w:vAlign w:val="center"/>
          </w:tcPr>
          <w:p w14:paraId="7F5D06E6">
            <w:pPr>
              <w:spacing w:line="280" w:lineRule="exact"/>
              <w:jc w:val="center"/>
              <w:rPr>
                <w:rFonts w:ascii="黑体" w:hAnsi="黑体" w:eastAsia="黑体" w:cs="黑体"/>
                <w:sz w:val="22"/>
              </w:rPr>
            </w:pPr>
            <w:r>
              <w:rPr>
                <w:rFonts w:hint="eastAsia" w:ascii="黑体" w:hAnsi="黑体" w:eastAsia="黑体" w:cs="黑体"/>
                <w:sz w:val="22"/>
              </w:rPr>
              <w:t>主要完成人</w:t>
            </w:r>
          </w:p>
          <w:p w14:paraId="39728CD0">
            <w:pPr>
              <w:spacing w:line="280" w:lineRule="exact"/>
              <w:jc w:val="center"/>
              <w:rPr>
                <w:sz w:val="22"/>
              </w:rPr>
            </w:pPr>
            <w:r>
              <w:rPr>
                <w:rFonts w:hint="eastAsia" w:ascii="黑体" w:hAnsi="黑体" w:eastAsia="黑体" w:cs="黑体"/>
                <w:sz w:val="22"/>
              </w:rPr>
              <w:t>（完成单位）</w:t>
            </w:r>
          </w:p>
        </w:tc>
        <w:tc>
          <w:tcPr>
            <w:tcW w:w="11382" w:type="dxa"/>
            <w:gridSpan w:val="9"/>
            <w:vAlign w:val="center"/>
          </w:tcPr>
          <w:p w14:paraId="6F0560D9">
            <w:pPr>
              <w:spacing w:line="240" w:lineRule="exact"/>
              <w:ind w:firstLine="420" w:firstLineChars="200"/>
              <w:rPr>
                <w:rFonts w:hint="eastAsia" w:eastAsia="仿宋_GB2312"/>
                <w:sz w:val="21"/>
                <w:szCs w:val="21"/>
                <w:lang w:eastAsia="zh-CN"/>
              </w:rPr>
            </w:pPr>
            <w:r>
              <w:rPr>
                <w:rFonts w:hint="eastAsia"/>
                <w:sz w:val="21"/>
                <w:szCs w:val="21"/>
                <w:lang w:eastAsia="zh-CN"/>
              </w:rPr>
              <w:t>唐景峰</w:t>
            </w:r>
            <w:r>
              <w:rPr>
                <w:rFonts w:hint="eastAsia"/>
                <w:sz w:val="21"/>
                <w:szCs w:val="21"/>
              </w:rPr>
              <w:t>（</w:t>
            </w:r>
            <w:r>
              <w:rPr>
                <w:rFonts w:hint="eastAsia"/>
                <w:sz w:val="21"/>
                <w:szCs w:val="21"/>
                <w:lang w:val="en-US" w:eastAsia="zh-CN"/>
              </w:rPr>
              <w:t>湖北工业大学</w:t>
            </w:r>
            <w:r>
              <w:rPr>
                <w:rFonts w:hint="eastAsia"/>
                <w:sz w:val="21"/>
                <w:szCs w:val="21"/>
              </w:rPr>
              <w:t>）</w:t>
            </w:r>
            <w:r>
              <w:rPr>
                <w:rFonts w:hint="eastAsia"/>
                <w:sz w:val="21"/>
                <w:szCs w:val="21"/>
                <w:lang w:eastAsia="zh-CN"/>
              </w:rPr>
              <w:t>、周策凡</w:t>
            </w:r>
            <w:r>
              <w:rPr>
                <w:rFonts w:hint="eastAsia"/>
                <w:sz w:val="21"/>
                <w:szCs w:val="21"/>
              </w:rPr>
              <w:t>（</w:t>
            </w:r>
            <w:r>
              <w:rPr>
                <w:rFonts w:hint="eastAsia"/>
                <w:sz w:val="21"/>
                <w:szCs w:val="21"/>
                <w:lang w:val="en-US" w:eastAsia="zh-CN"/>
              </w:rPr>
              <w:t>湖北工业大学</w:t>
            </w:r>
            <w:r>
              <w:rPr>
                <w:rFonts w:hint="eastAsia"/>
                <w:sz w:val="21"/>
                <w:szCs w:val="21"/>
              </w:rPr>
              <w:t>）</w:t>
            </w:r>
            <w:r>
              <w:rPr>
                <w:rFonts w:hint="eastAsia"/>
                <w:sz w:val="21"/>
                <w:szCs w:val="21"/>
                <w:lang w:eastAsia="zh-CN"/>
              </w:rPr>
              <w:t>、张瑞</w:t>
            </w:r>
            <w:r>
              <w:rPr>
                <w:rFonts w:hint="eastAsia"/>
                <w:sz w:val="21"/>
                <w:szCs w:val="21"/>
              </w:rPr>
              <w:t>（</w:t>
            </w:r>
            <w:r>
              <w:rPr>
                <w:rFonts w:hint="eastAsia"/>
                <w:sz w:val="21"/>
                <w:szCs w:val="21"/>
                <w:lang w:val="en-US" w:eastAsia="zh-CN"/>
              </w:rPr>
              <w:t>湖北工业大学</w:t>
            </w:r>
            <w:r>
              <w:rPr>
                <w:rFonts w:hint="eastAsia"/>
                <w:sz w:val="21"/>
                <w:szCs w:val="21"/>
              </w:rPr>
              <w:t>）</w:t>
            </w:r>
            <w:r>
              <w:rPr>
                <w:rFonts w:hint="eastAsia"/>
                <w:sz w:val="21"/>
                <w:szCs w:val="21"/>
                <w:lang w:eastAsia="zh-CN"/>
              </w:rPr>
              <w:t>、赵颖</w:t>
            </w:r>
            <w:r>
              <w:rPr>
                <w:rFonts w:hint="eastAsia"/>
                <w:sz w:val="21"/>
                <w:szCs w:val="21"/>
              </w:rPr>
              <w:t>（</w:t>
            </w:r>
            <w:r>
              <w:rPr>
                <w:rFonts w:hint="eastAsia"/>
                <w:sz w:val="21"/>
                <w:szCs w:val="21"/>
                <w:lang w:eastAsia="zh-CN"/>
              </w:rPr>
              <w:t>北京</w:t>
            </w:r>
            <w:r>
              <w:rPr>
                <w:rFonts w:hint="eastAsia"/>
                <w:sz w:val="21"/>
                <w:szCs w:val="21"/>
                <w:lang w:val="en-US" w:eastAsia="zh-CN"/>
              </w:rPr>
              <w:t>大学</w:t>
            </w:r>
            <w:r>
              <w:rPr>
                <w:rFonts w:hint="eastAsia"/>
                <w:sz w:val="21"/>
                <w:szCs w:val="21"/>
              </w:rPr>
              <w:t>）</w:t>
            </w:r>
            <w:r>
              <w:rPr>
                <w:rFonts w:hint="eastAsia"/>
                <w:sz w:val="21"/>
                <w:szCs w:val="21"/>
                <w:lang w:eastAsia="zh-CN"/>
              </w:rPr>
              <w:t>、范明赫</w:t>
            </w:r>
            <w:r>
              <w:rPr>
                <w:rFonts w:hint="eastAsia"/>
                <w:sz w:val="21"/>
                <w:szCs w:val="21"/>
              </w:rPr>
              <w:t>（</w:t>
            </w:r>
            <w:r>
              <w:rPr>
                <w:rFonts w:hint="eastAsia"/>
                <w:sz w:val="21"/>
                <w:szCs w:val="21"/>
                <w:lang w:val="en-US" w:eastAsia="zh-CN"/>
              </w:rPr>
              <w:t>北京</w:t>
            </w:r>
            <w:bookmarkStart w:id="0" w:name="_GoBack"/>
            <w:bookmarkEnd w:id="0"/>
            <w:r>
              <w:rPr>
                <w:rFonts w:hint="eastAsia"/>
                <w:sz w:val="21"/>
                <w:szCs w:val="21"/>
                <w:lang w:val="en-US" w:eastAsia="zh-CN"/>
              </w:rPr>
              <w:t>大学</w:t>
            </w:r>
            <w:r>
              <w:rPr>
                <w:rFonts w:hint="eastAsia"/>
                <w:sz w:val="21"/>
                <w:szCs w:val="21"/>
              </w:rPr>
              <w:t>）</w:t>
            </w:r>
          </w:p>
        </w:tc>
      </w:tr>
      <w:tr w14:paraId="49CA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13606" w:type="dxa"/>
            <w:gridSpan w:val="11"/>
            <w:vAlign w:val="center"/>
          </w:tcPr>
          <w:p w14:paraId="49006516">
            <w:pPr>
              <w:pStyle w:val="7"/>
              <w:widowControl w:val="0"/>
              <w:adjustRightInd w:val="0"/>
              <w:spacing w:line="240" w:lineRule="exact"/>
              <w:jc w:val="center"/>
              <w:outlineLvl w:val="1"/>
              <w:rPr>
                <w:rFonts w:ascii="宋体" w:hAnsi="宋体" w:eastAsia="宋体" w:cs="宋体"/>
                <w:color w:val="000000"/>
                <w:sz w:val="21"/>
                <w:szCs w:val="28"/>
                <w:lang w:bidi="ar"/>
              </w:rPr>
            </w:pPr>
            <w:r>
              <w:rPr>
                <w:rFonts w:hint="eastAsia" w:ascii="黑体" w:hAnsi="黑体" w:eastAsia="黑体" w:cs="黑体"/>
                <w:color w:val="000000"/>
                <w:sz w:val="22"/>
                <w:lang w:bidi="ar"/>
              </w:rPr>
              <w:t>代表性论文（专著）目录</w:t>
            </w:r>
          </w:p>
        </w:tc>
      </w:tr>
      <w:tr w14:paraId="1BDF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65" w:type="dxa"/>
            <w:vAlign w:val="center"/>
          </w:tcPr>
          <w:p w14:paraId="71B8556F">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序号</w:t>
            </w:r>
          </w:p>
        </w:tc>
        <w:tc>
          <w:tcPr>
            <w:tcW w:w="4563" w:type="dxa"/>
            <w:gridSpan w:val="2"/>
            <w:vAlign w:val="center"/>
          </w:tcPr>
          <w:p w14:paraId="2EE2070C">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论文（专著）名称/刊名/作者</w:t>
            </w:r>
          </w:p>
        </w:tc>
        <w:tc>
          <w:tcPr>
            <w:tcW w:w="495" w:type="dxa"/>
            <w:vAlign w:val="center"/>
          </w:tcPr>
          <w:p w14:paraId="36A9A658">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年卷页码</w:t>
            </w:r>
          </w:p>
        </w:tc>
        <w:tc>
          <w:tcPr>
            <w:tcW w:w="975" w:type="dxa"/>
            <w:vAlign w:val="center"/>
          </w:tcPr>
          <w:p w14:paraId="5814A4D7">
            <w:pPr>
              <w:pStyle w:val="7"/>
              <w:widowControl w:val="0"/>
              <w:adjustRightInd w:val="0"/>
              <w:spacing w:line="240" w:lineRule="exact"/>
              <w:jc w:val="center"/>
              <w:rPr>
                <w:rFonts w:ascii="黑体" w:hAnsi="黑体" w:eastAsia="黑体" w:cs="黑体"/>
                <w:color w:val="000000"/>
                <w:sz w:val="18"/>
                <w:szCs w:val="18"/>
                <w:lang w:bidi="ar"/>
              </w:rPr>
            </w:pPr>
            <w:r>
              <w:rPr>
                <w:rFonts w:hint="eastAsia" w:ascii="黑体" w:hAnsi="黑体" w:eastAsia="黑体" w:cs="黑体"/>
                <w:color w:val="000000"/>
                <w:sz w:val="18"/>
                <w:szCs w:val="18"/>
                <w:lang w:bidi="ar"/>
              </w:rPr>
              <w:t>发表时间</w:t>
            </w:r>
          </w:p>
          <w:p w14:paraId="43C19093">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 年 月 日）</w:t>
            </w:r>
          </w:p>
        </w:tc>
        <w:tc>
          <w:tcPr>
            <w:tcW w:w="1020" w:type="dxa"/>
            <w:vAlign w:val="center"/>
          </w:tcPr>
          <w:p w14:paraId="3AA93C1A">
            <w:pPr>
              <w:pStyle w:val="7"/>
              <w:widowControl w:val="0"/>
              <w:adjustRightInd w:val="0"/>
              <w:spacing w:line="240" w:lineRule="exact"/>
              <w:jc w:val="center"/>
              <w:rPr>
                <w:rFonts w:ascii="黑体" w:hAnsi="黑体" w:eastAsia="黑体" w:cs="黑体"/>
                <w:color w:val="000000"/>
                <w:sz w:val="18"/>
                <w:szCs w:val="18"/>
                <w:lang w:bidi="ar"/>
              </w:rPr>
            </w:pPr>
            <w:r>
              <w:rPr>
                <w:rFonts w:hint="eastAsia" w:ascii="黑体" w:hAnsi="黑体" w:eastAsia="黑体" w:cs="黑体"/>
                <w:color w:val="000000"/>
                <w:sz w:val="18"/>
                <w:szCs w:val="18"/>
                <w:lang w:bidi="ar"/>
              </w:rPr>
              <w:t>通讯作者</w:t>
            </w:r>
          </w:p>
          <w:p w14:paraId="56D3152B">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（含共同）</w:t>
            </w:r>
          </w:p>
        </w:tc>
        <w:tc>
          <w:tcPr>
            <w:tcW w:w="960" w:type="dxa"/>
            <w:vAlign w:val="center"/>
          </w:tcPr>
          <w:p w14:paraId="644F4226">
            <w:pPr>
              <w:pStyle w:val="7"/>
              <w:widowControl w:val="0"/>
              <w:adjustRightInd w:val="0"/>
              <w:spacing w:line="240" w:lineRule="exact"/>
              <w:jc w:val="center"/>
              <w:rPr>
                <w:rFonts w:ascii="黑体" w:hAnsi="黑体" w:eastAsia="黑体" w:cs="黑体"/>
                <w:color w:val="000000"/>
                <w:sz w:val="18"/>
                <w:szCs w:val="18"/>
                <w:lang w:bidi="ar"/>
              </w:rPr>
            </w:pPr>
            <w:r>
              <w:rPr>
                <w:rFonts w:hint="eastAsia" w:ascii="黑体" w:hAnsi="黑体" w:eastAsia="黑体" w:cs="黑体"/>
                <w:color w:val="000000"/>
                <w:sz w:val="18"/>
                <w:szCs w:val="18"/>
                <w:lang w:bidi="ar"/>
              </w:rPr>
              <w:t>第一作者</w:t>
            </w:r>
          </w:p>
          <w:p w14:paraId="40A7A50B">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（含共同）</w:t>
            </w:r>
          </w:p>
        </w:tc>
        <w:tc>
          <w:tcPr>
            <w:tcW w:w="2175" w:type="dxa"/>
            <w:vAlign w:val="center"/>
          </w:tcPr>
          <w:p w14:paraId="4FB0E2A2">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国内作者</w:t>
            </w:r>
          </w:p>
        </w:tc>
        <w:tc>
          <w:tcPr>
            <w:tcW w:w="660" w:type="dxa"/>
            <w:vAlign w:val="center"/>
          </w:tcPr>
          <w:p w14:paraId="5AC57B02">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他引总次数</w:t>
            </w:r>
          </w:p>
        </w:tc>
        <w:tc>
          <w:tcPr>
            <w:tcW w:w="668" w:type="dxa"/>
            <w:vAlign w:val="center"/>
          </w:tcPr>
          <w:p w14:paraId="68F91568">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检索数据库</w:t>
            </w:r>
          </w:p>
        </w:tc>
        <w:tc>
          <w:tcPr>
            <w:tcW w:w="1425" w:type="dxa"/>
            <w:vAlign w:val="center"/>
          </w:tcPr>
          <w:p w14:paraId="3C9C3B74">
            <w:pPr>
              <w:pStyle w:val="7"/>
              <w:widowControl w:val="0"/>
              <w:adjustRightInd w:val="0"/>
              <w:spacing w:line="240" w:lineRule="exact"/>
              <w:jc w:val="center"/>
              <w:rPr>
                <w:rFonts w:ascii="黑体" w:hAnsi="黑体" w:eastAsia="黑体" w:cs="黑体"/>
                <w:color w:val="000000"/>
                <w:sz w:val="18"/>
                <w:szCs w:val="18"/>
              </w:rPr>
            </w:pPr>
            <w:r>
              <w:rPr>
                <w:rFonts w:hint="eastAsia" w:ascii="黑体" w:hAnsi="黑体" w:eastAsia="黑体" w:cs="黑体"/>
                <w:color w:val="000000"/>
                <w:sz w:val="18"/>
                <w:szCs w:val="18"/>
                <w:lang w:bidi="ar"/>
              </w:rPr>
              <w:t>论文署名单位是否包含国外单位</w:t>
            </w:r>
          </w:p>
        </w:tc>
      </w:tr>
      <w:tr w14:paraId="6A1AF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65" w:type="dxa"/>
            <w:vAlign w:val="center"/>
          </w:tcPr>
          <w:p w14:paraId="1BCEBBB3">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lang w:bidi="ar"/>
              </w:rPr>
              <w:t>1</w:t>
            </w:r>
          </w:p>
        </w:tc>
        <w:tc>
          <w:tcPr>
            <w:tcW w:w="4563" w:type="dxa"/>
            <w:gridSpan w:val="2"/>
            <w:vAlign w:val="center"/>
          </w:tcPr>
          <w:p w14:paraId="6841AAC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ascii="仿宋_GB2312" w:eastAsia="仿宋_GB2312"/>
                <w:sz w:val="20"/>
                <w:szCs w:val="22"/>
              </w:rPr>
              <w:t>Autophagy Regulates Chromatin Ubiquitination in DNA Damage Response throughElimination of SQSTM1</w:t>
            </w:r>
            <w:r>
              <w:rPr>
                <w:rFonts w:hint="eastAsia" w:ascii="仿宋_GB2312" w:eastAsia="仿宋_GB2312"/>
                <w:sz w:val="20"/>
                <w:szCs w:val="22"/>
              </w:rPr>
              <w:t xml:space="preserve"> </w:t>
            </w:r>
            <w:r>
              <w:rPr>
                <w:rFonts w:ascii="仿宋_GB2312" w:eastAsia="仿宋_GB2312"/>
                <w:sz w:val="20"/>
                <w:szCs w:val="22"/>
              </w:rPr>
              <w:t>/p62</w:t>
            </w:r>
            <w:r>
              <w:rPr>
                <w:rFonts w:hint="eastAsia" w:ascii="仿宋_GB2312" w:eastAsia="仿宋_GB2312"/>
                <w:sz w:val="20"/>
                <w:szCs w:val="22"/>
              </w:rPr>
              <w:t>/Molecular Cell/ Yanan Wang, Nan Zhang, Luyao Zhang, Ran Li, Wan Fu, Ke Ma, Xue Li,</w:t>
            </w:r>
            <w:r>
              <w:rPr>
                <w:rFonts w:ascii="仿宋_GB2312" w:eastAsia="仿宋_GB2312"/>
                <w:sz w:val="20"/>
                <w:szCs w:val="22"/>
              </w:rPr>
              <w:t xml:space="preserve"> </w:t>
            </w:r>
            <w:r>
              <w:rPr>
                <w:rFonts w:hint="eastAsia" w:ascii="仿宋_GB2312" w:eastAsia="仿宋_GB2312"/>
                <w:sz w:val="20"/>
                <w:szCs w:val="22"/>
              </w:rPr>
              <w:t>Lina Wang, Jiadong Wang,</w:t>
            </w:r>
            <w:r>
              <w:rPr>
                <w:rFonts w:ascii="仿宋_GB2312" w:eastAsia="仿宋_GB2312"/>
                <w:sz w:val="20"/>
                <w:szCs w:val="22"/>
              </w:rPr>
              <w:t xml:space="preserve"> </w:t>
            </w:r>
            <w:r>
              <w:rPr>
                <w:rFonts w:hint="eastAsia" w:ascii="仿宋_GB2312" w:eastAsia="仿宋_GB2312"/>
                <w:sz w:val="20"/>
                <w:szCs w:val="22"/>
              </w:rPr>
              <w:t>Hongquan Zhang, Wei Gu, Wei-Guo Zhu and Ying Zhao</w:t>
            </w:r>
          </w:p>
        </w:tc>
        <w:tc>
          <w:tcPr>
            <w:tcW w:w="495" w:type="dxa"/>
            <w:vAlign w:val="center"/>
          </w:tcPr>
          <w:p w14:paraId="3984895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2016,63(1):34-48</w:t>
            </w:r>
          </w:p>
        </w:tc>
        <w:tc>
          <w:tcPr>
            <w:tcW w:w="975" w:type="dxa"/>
            <w:vAlign w:val="center"/>
          </w:tcPr>
          <w:p w14:paraId="2695DAF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2016-07-07</w:t>
            </w:r>
          </w:p>
        </w:tc>
        <w:tc>
          <w:tcPr>
            <w:tcW w:w="1020" w:type="dxa"/>
            <w:vAlign w:val="center"/>
          </w:tcPr>
          <w:p w14:paraId="3BE0BA7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Wei-Guo Zhu, Ying Zhao</w:t>
            </w:r>
          </w:p>
        </w:tc>
        <w:tc>
          <w:tcPr>
            <w:tcW w:w="960" w:type="dxa"/>
            <w:vAlign w:val="center"/>
          </w:tcPr>
          <w:p w14:paraId="1404985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Yanan Wang</w:t>
            </w:r>
          </w:p>
        </w:tc>
        <w:tc>
          <w:tcPr>
            <w:tcW w:w="2175" w:type="dxa"/>
            <w:vAlign w:val="center"/>
          </w:tcPr>
          <w:p w14:paraId="58E6BA7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王亚楠，张楠，张璐瑶，李冉，付婉，马可，李雪，王丽娜，王家栋，张宏权，顾伟，朱卫国，赵颖</w:t>
            </w:r>
          </w:p>
        </w:tc>
        <w:tc>
          <w:tcPr>
            <w:tcW w:w="660" w:type="dxa"/>
            <w:vAlign w:val="center"/>
          </w:tcPr>
          <w:p w14:paraId="0476172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200</w:t>
            </w:r>
          </w:p>
        </w:tc>
        <w:tc>
          <w:tcPr>
            <w:tcW w:w="668" w:type="dxa"/>
            <w:vAlign w:val="center"/>
          </w:tcPr>
          <w:p w14:paraId="4C78897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SCIE</w:t>
            </w:r>
          </w:p>
        </w:tc>
        <w:tc>
          <w:tcPr>
            <w:tcW w:w="1425" w:type="dxa"/>
            <w:vAlign w:val="center"/>
          </w:tcPr>
          <w:p w14:paraId="1EA7C9C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否</w:t>
            </w:r>
          </w:p>
        </w:tc>
      </w:tr>
      <w:tr w14:paraId="59F4B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65" w:type="dxa"/>
            <w:vAlign w:val="center"/>
          </w:tcPr>
          <w:p w14:paraId="3655F092">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lang w:bidi="ar"/>
              </w:rPr>
              <w:t>2</w:t>
            </w:r>
          </w:p>
        </w:tc>
        <w:tc>
          <w:tcPr>
            <w:tcW w:w="4563" w:type="dxa"/>
            <w:gridSpan w:val="2"/>
            <w:vAlign w:val="center"/>
          </w:tcPr>
          <w:p w14:paraId="42C8A8B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Cancer-associated fibroblasts employ NUFIP1-dependent autophagy to secrete nucleosides and support pancreatic tumor growth /Nature Cancer/ Meng Yuan, Bo Tu, Hengchao Li, Huanhuan Pang, Nan Zhang, Minghe Fan, Jingru Bai, Wei Wang, Zhaoqi Shu, Christopher C. DuFort4, Sihan Huo, Jie Zhai, Ke Yao , Lina Wang, Haoqiang Ying, Wei-Guo Zhu, Deliang Fu, Zeping Hu and Ying Zhao</w:t>
            </w:r>
          </w:p>
        </w:tc>
        <w:tc>
          <w:tcPr>
            <w:tcW w:w="495" w:type="dxa"/>
            <w:vAlign w:val="center"/>
          </w:tcPr>
          <w:p w14:paraId="0BA121B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2022,3(8):945-960</w:t>
            </w:r>
          </w:p>
        </w:tc>
        <w:tc>
          <w:tcPr>
            <w:tcW w:w="975" w:type="dxa"/>
            <w:vAlign w:val="center"/>
          </w:tcPr>
          <w:p w14:paraId="2000AB6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2022-08-18</w:t>
            </w:r>
          </w:p>
        </w:tc>
        <w:tc>
          <w:tcPr>
            <w:tcW w:w="1020" w:type="dxa"/>
            <w:vAlign w:val="center"/>
          </w:tcPr>
          <w:p w14:paraId="58F326E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Deliang Fu, Zeping Hu, Ying Zhao</w:t>
            </w:r>
          </w:p>
        </w:tc>
        <w:tc>
          <w:tcPr>
            <w:tcW w:w="960" w:type="dxa"/>
            <w:vAlign w:val="center"/>
          </w:tcPr>
          <w:p w14:paraId="76BA981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Meng Yuan, Bo Tu, Hengchao Li, Huanhuan Pang</w:t>
            </w:r>
          </w:p>
        </w:tc>
        <w:tc>
          <w:tcPr>
            <w:tcW w:w="2175" w:type="dxa"/>
            <w:vAlign w:val="center"/>
          </w:tcPr>
          <w:p w14:paraId="0825A23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原梦、涂博、李恒超、庞欢欢、张楠、范明赫、白静如、王巍、舒赵琦、霍思函、翟杰、姚科、王丽娜、朱卫国、付德良、胡泽平、赵颖</w:t>
            </w:r>
          </w:p>
        </w:tc>
        <w:tc>
          <w:tcPr>
            <w:tcW w:w="660" w:type="dxa"/>
            <w:vAlign w:val="center"/>
          </w:tcPr>
          <w:p w14:paraId="6D03DFB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7</w:t>
            </w:r>
            <w:r>
              <w:rPr>
                <w:rFonts w:hint="eastAsia" w:ascii="仿宋_GB2312" w:eastAsia="仿宋_GB2312"/>
                <w:sz w:val="20"/>
                <w:szCs w:val="22"/>
                <w:lang w:val="en-US" w:eastAsia="zh-CN"/>
              </w:rPr>
              <w:t>2</w:t>
            </w:r>
          </w:p>
        </w:tc>
        <w:tc>
          <w:tcPr>
            <w:tcW w:w="668" w:type="dxa"/>
            <w:vAlign w:val="center"/>
          </w:tcPr>
          <w:p w14:paraId="14A0959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SCIE</w:t>
            </w:r>
          </w:p>
        </w:tc>
        <w:tc>
          <w:tcPr>
            <w:tcW w:w="1425" w:type="dxa"/>
            <w:vAlign w:val="center"/>
          </w:tcPr>
          <w:p w14:paraId="04228AE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是</w:t>
            </w:r>
          </w:p>
        </w:tc>
      </w:tr>
      <w:tr w14:paraId="4611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65" w:type="dxa"/>
            <w:vAlign w:val="center"/>
          </w:tcPr>
          <w:p w14:paraId="4F861D9E">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lang w:bidi="ar"/>
              </w:rPr>
              <w:t>3</w:t>
            </w:r>
          </w:p>
        </w:tc>
        <w:tc>
          <w:tcPr>
            <w:tcW w:w="4563" w:type="dxa"/>
            <w:gridSpan w:val="2"/>
            <w:vAlign w:val="center"/>
          </w:tcPr>
          <w:p w14:paraId="4079D1D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仿宋_GB2312" w:eastAsia="仿宋_GB2312"/>
                <w:sz w:val="20"/>
                <w:szCs w:val="22"/>
              </w:rPr>
            </w:pPr>
            <w:r>
              <w:rPr>
                <w:rFonts w:hint="eastAsia" w:ascii="仿宋_GB2312" w:eastAsia="仿宋_GB2312"/>
                <w:sz w:val="20"/>
                <w:szCs w:val="22"/>
              </w:rPr>
              <w:t>LncRNA PVT1 promotes gemcitabine resistance of pancreatic cancer via activating Wnt/β-catenin and autophagy pathway through modulating the miR-619-5p/Pygo2 and miR-619-5p/ATG14 axes /Molecular Cancer/ Cefan Zhou, Changhua Yi, Yongxiang Yi, Wenying Qin, Yanan Yan, Xueying Dong, Xuewen Zhang,</w:t>
            </w:r>
          </w:p>
          <w:p w14:paraId="70D183A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Yuan Huang, Rui Zhang, Jie Wei, Declan William Ali, Marek Michalak, Xing-Zhen Chen and Jingfeng Tang</w:t>
            </w:r>
          </w:p>
        </w:tc>
        <w:tc>
          <w:tcPr>
            <w:tcW w:w="495" w:type="dxa"/>
            <w:vAlign w:val="center"/>
          </w:tcPr>
          <w:p w14:paraId="4E413400">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2020,19:118</w:t>
            </w:r>
          </w:p>
        </w:tc>
        <w:tc>
          <w:tcPr>
            <w:tcW w:w="975" w:type="dxa"/>
            <w:vAlign w:val="center"/>
          </w:tcPr>
          <w:p w14:paraId="49D2536E">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2020-07-29</w:t>
            </w:r>
          </w:p>
        </w:tc>
        <w:tc>
          <w:tcPr>
            <w:tcW w:w="1020" w:type="dxa"/>
            <w:vAlign w:val="center"/>
          </w:tcPr>
          <w:p w14:paraId="3F135C2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Jingfeng Tang</w:t>
            </w:r>
          </w:p>
        </w:tc>
        <w:tc>
          <w:tcPr>
            <w:tcW w:w="960" w:type="dxa"/>
            <w:vAlign w:val="center"/>
          </w:tcPr>
          <w:p w14:paraId="6B767FCD">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Cefan Zhou, Changhua Yi</w:t>
            </w:r>
          </w:p>
        </w:tc>
        <w:tc>
          <w:tcPr>
            <w:tcW w:w="2175" w:type="dxa"/>
            <w:vAlign w:val="center"/>
          </w:tcPr>
          <w:p w14:paraId="4C32885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周策凡，易昌华，易永祥，秦文英，闫亚楠，董雪迎，张学文，黄渊，张瑞，魏洁，唐景峰</w:t>
            </w:r>
          </w:p>
        </w:tc>
        <w:tc>
          <w:tcPr>
            <w:tcW w:w="660" w:type="dxa"/>
            <w:vAlign w:val="center"/>
          </w:tcPr>
          <w:p w14:paraId="78ABA12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3</w:t>
            </w:r>
            <w:r>
              <w:rPr>
                <w:rFonts w:hint="eastAsia" w:ascii="仿宋_GB2312" w:eastAsia="仿宋_GB2312"/>
                <w:sz w:val="20"/>
                <w:szCs w:val="22"/>
                <w:lang w:val="en-US" w:eastAsia="zh-CN"/>
              </w:rPr>
              <w:t>32</w:t>
            </w:r>
          </w:p>
        </w:tc>
        <w:tc>
          <w:tcPr>
            <w:tcW w:w="668" w:type="dxa"/>
            <w:vAlign w:val="center"/>
          </w:tcPr>
          <w:p w14:paraId="69A3C3D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SCIE</w:t>
            </w:r>
          </w:p>
        </w:tc>
        <w:tc>
          <w:tcPr>
            <w:tcW w:w="1425" w:type="dxa"/>
            <w:vAlign w:val="center"/>
          </w:tcPr>
          <w:p w14:paraId="5FAD61D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是</w:t>
            </w:r>
          </w:p>
        </w:tc>
      </w:tr>
      <w:tr w14:paraId="4737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65" w:type="dxa"/>
            <w:vAlign w:val="center"/>
          </w:tcPr>
          <w:p w14:paraId="5969F810">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lang w:bidi="ar"/>
              </w:rPr>
              <w:t>4</w:t>
            </w:r>
          </w:p>
        </w:tc>
        <w:tc>
          <w:tcPr>
            <w:tcW w:w="4563" w:type="dxa"/>
            <w:gridSpan w:val="2"/>
            <w:vAlign w:val="center"/>
          </w:tcPr>
          <w:p w14:paraId="36C3A9E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B-lymphoid tyrosine kinase-mediated FAM83A</w:t>
            </w:r>
            <w:r>
              <w:rPr>
                <w:rFonts w:ascii="仿宋_GB2312" w:eastAsia="仿宋_GB2312"/>
                <w:sz w:val="20"/>
                <w:szCs w:val="22"/>
              </w:rPr>
              <w:t xml:space="preserve"> </w:t>
            </w:r>
            <w:r>
              <w:rPr>
                <w:rFonts w:hint="eastAsia" w:ascii="仿宋_GB2312" w:eastAsia="仿宋_GB2312"/>
                <w:sz w:val="20"/>
                <w:szCs w:val="22"/>
              </w:rPr>
              <w:t>phosphorylation elevates pancreatic tumorigenesis through interacting with β-catenin /Signal Transduction and Targeted Therapy/ Cefan Zhou, Xiaoting Zhu, Nanxi Liu, Xueying Dong, Xuewen Zhang, Huili Huang, Yu Tang, Shicheng Liu, Mengyu Hu, Ming Wang, Xiaoling Deng, Shi Li, Rui Zhang, Yuan Huang, Hao Lyu, Shuai Xiao, Sang Luo, Declan William Ali, Marek Michalak, Xing-Zhen Chen, Zhentian Wang and Jingfeng Tang</w:t>
            </w:r>
          </w:p>
        </w:tc>
        <w:tc>
          <w:tcPr>
            <w:tcW w:w="495" w:type="dxa"/>
            <w:vAlign w:val="center"/>
          </w:tcPr>
          <w:p w14:paraId="73EE0105">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2023,8(1):66</w:t>
            </w:r>
          </w:p>
        </w:tc>
        <w:tc>
          <w:tcPr>
            <w:tcW w:w="975" w:type="dxa"/>
            <w:vAlign w:val="center"/>
          </w:tcPr>
          <w:p w14:paraId="73132AC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2023-02-17</w:t>
            </w:r>
          </w:p>
        </w:tc>
        <w:tc>
          <w:tcPr>
            <w:tcW w:w="1020" w:type="dxa"/>
            <w:vAlign w:val="center"/>
          </w:tcPr>
          <w:p w14:paraId="3139D54B">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Zhentian Wang and Jingfeng Tang</w:t>
            </w:r>
          </w:p>
        </w:tc>
        <w:tc>
          <w:tcPr>
            <w:tcW w:w="960" w:type="dxa"/>
            <w:vAlign w:val="center"/>
          </w:tcPr>
          <w:p w14:paraId="6B347CE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Cefan Zhou, Xiaoting Zhu, Nanxi Liu</w:t>
            </w:r>
          </w:p>
        </w:tc>
        <w:tc>
          <w:tcPr>
            <w:tcW w:w="2175" w:type="dxa"/>
            <w:vAlign w:val="center"/>
          </w:tcPr>
          <w:p w14:paraId="1E0AC809">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周策凡、朱霄婷、刘南茜、董雪迎、张学文、黄惠利、唐榆、刘诗诚、胡梦雨、汪明、邓小玲、李诗、张瑞、黄渊、吕浩、肖帅、罗桑、汪振天、唐景峰</w:t>
            </w:r>
          </w:p>
        </w:tc>
        <w:tc>
          <w:tcPr>
            <w:tcW w:w="660" w:type="dxa"/>
            <w:vAlign w:val="center"/>
          </w:tcPr>
          <w:p w14:paraId="1E2A657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4</w:t>
            </w:r>
            <w:r>
              <w:rPr>
                <w:rFonts w:hint="eastAsia" w:ascii="仿宋_GB2312" w:eastAsia="仿宋_GB2312"/>
                <w:sz w:val="20"/>
                <w:szCs w:val="22"/>
                <w:lang w:val="en-US" w:eastAsia="zh-CN"/>
              </w:rPr>
              <w:t>3</w:t>
            </w:r>
          </w:p>
        </w:tc>
        <w:tc>
          <w:tcPr>
            <w:tcW w:w="668" w:type="dxa"/>
            <w:vAlign w:val="center"/>
          </w:tcPr>
          <w:p w14:paraId="638C593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SCIE</w:t>
            </w:r>
          </w:p>
        </w:tc>
        <w:tc>
          <w:tcPr>
            <w:tcW w:w="1425" w:type="dxa"/>
            <w:vAlign w:val="center"/>
          </w:tcPr>
          <w:p w14:paraId="3828B38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是</w:t>
            </w:r>
          </w:p>
        </w:tc>
      </w:tr>
      <w:tr w14:paraId="589E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6" w:hRule="atLeast"/>
          <w:jc w:val="center"/>
        </w:trPr>
        <w:tc>
          <w:tcPr>
            <w:tcW w:w="665" w:type="dxa"/>
            <w:vAlign w:val="center"/>
          </w:tcPr>
          <w:p w14:paraId="75ACE37C">
            <w:pPr>
              <w:pStyle w:val="7"/>
              <w:widowControl w:val="0"/>
              <w:adjustRightInd w:val="0"/>
              <w:spacing w:line="240" w:lineRule="exact"/>
              <w:jc w:val="center"/>
              <w:outlineLvl w:val="1"/>
              <w:rPr>
                <w:rFonts w:ascii="宋体" w:hAnsi="宋体" w:eastAsia="宋体" w:cs="宋体"/>
                <w:color w:val="000000"/>
                <w:sz w:val="18"/>
                <w:szCs w:val="18"/>
              </w:rPr>
            </w:pPr>
            <w:r>
              <w:rPr>
                <w:rFonts w:hint="eastAsia" w:ascii="宋体" w:hAnsi="宋体" w:eastAsia="宋体" w:cs="宋体"/>
                <w:color w:val="000000"/>
                <w:sz w:val="18"/>
                <w:szCs w:val="18"/>
                <w:lang w:bidi="ar"/>
              </w:rPr>
              <w:t>5</w:t>
            </w:r>
          </w:p>
        </w:tc>
        <w:tc>
          <w:tcPr>
            <w:tcW w:w="4563" w:type="dxa"/>
            <w:gridSpan w:val="2"/>
            <w:vAlign w:val="center"/>
          </w:tcPr>
          <w:p w14:paraId="58B2B81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XBP-1u suppresses autophagy by promoting the degradation of FoxO1 in cancer cells /Cell Research/ Ying Zhao, Xue Li, Mu-Yan Cai, Ke Ma, Jing Yang, Jingyi Zhou, Wan Fu, Fu-Zheng Wei,Lina Wang, Dan Xie, Wei-Guo Zhu</w:t>
            </w:r>
          </w:p>
        </w:tc>
        <w:tc>
          <w:tcPr>
            <w:tcW w:w="495" w:type="dxa"/>
            <w:vAlign w:val="center"/>
          </w:tcPr>
          <w:p w14:paraId="2CD53F8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2013,23:491-507</w:t>
            </w:r>
          </w:p>
        </w:tc>
        <w:tc>
          <w:tcPr>
            <w:tcW w:w="975" w:type="dxa"/>
            <w:vAlign w:val="center"/>
          </w:tcPr>
          <w:p w14:paraId="66740DD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2013-01-01</w:t>
            </w:r>
          </w:p>
        </w:tc>
        <w:tc>
          <w:tcPr>
            <w:tcW w:w="1020" w:type="dxa"/>
            <w:vAlign w:val="center"/>
          </w:tcPr>
          <w:p w14:paraId="4C552C4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Ying Zhao, Wei-Guo Zhu</w:t>
            </w:r>
          </w:p>
        </w:tc>
        <w:tc>
          <w:tcPr>
            <w:tcW w:w="960" w:type="dxa"/>
            <w:vAlign w:val="center"/>
          </w:tcPr>
          <w:p w14:paraId="715C6CF4">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Ying Zhao</w:t>
            </w:r>
          </w:p>
        </w:tc>
        <w:tc>
          <w:tcPr>
            <w:tcW w:w="2175" w:type="dxa"/>
            <w:vAlign w:val="center"/>
          </w:tcPr>
          <w:p w14:paraId="1CA00818">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赵颖、李雪、蔡木炎、马可、杨静、周静怡、付婉、魏付正、王丽娜、谢丹、朱卫国</w:t>
            </w:r>
          </w:p>
        </w:tc>
        <w:tc>
          <w:tcPr>
            <w:tcW w:w="660" w:type="dxa"/>
            <w:vAlign w:val="center"/>
          </w:tcPr>
          <w:p w14:paraId="74527FF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10</w:t>
            </w:r>
            <w:r>
              <w:rPr>
                <w:rFonts w:hint="eastAsia" w:ascii="仿宋_GB2312" w:eastAsia="仿宋_GB2312"/>
                <w:sz w:val="20"/>
                <w:szCs w:val="22"/>
                <w:lang w:val="en-US" w:eastAsia="zh-CN"/>
              </w:rPr>
              <w:t>4</w:t>
            </w:r>
          </w:p>
        </w:tc>
        <w:tc>
          <w:tcPr>
            <w:tcW w:w="668" w:type="dxa"/>
            <w:vAlign w:val="center"/>
          </w:tcPr>
          <w:p w14:paraId="4D225142">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SCIE</w:t>
            </w:r>
          </w:p>
        </w:tc>
        <w:tc>
          <w:tcPr>
            <w:tcW w:w="1425" w:type="dxa"/>
            <w:vAlign w:val="center"/>
          </w:tcPr>
          <w:p w14:paraId="65FD2D01">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ascii="宋体" w:hAnsi="宋体" w:eastAsia="宋体" w:cs="宋体"/>
                <w:color w:val="000000"/>
                <w:sz w:val="18"/>
                <w:szCs w:val="18"/>
              </w:rPr>
            </w:pPr>
            <w:r>
              <w:rPr>
                <w:rFonts w:hint="eastAsia" w:ascii="仿宋_GB2312" w:eastAsia="仿宋_GB2312"/>
                <w:sz w:val="20"/>
                <w:szCs w:val="22"/>
              </w:rPr>
              <w:t>是</w:t>
            </w:r>
          </w:p>
        </w:tc>
      </w:tr>
    </w:tbl>
    <w:p w14:paraId="2CE7B950">
      <w:pPr>
        <w:spacing w:line="20" w:lineRule="atLeast"/>
        <w:rPr>
          <w:sz w:val="21"/>
          <w:szCs w:val="21"/>
        </w:rPr>
      </w:pPr>
    </w:p>
    <w:sectPr>
      <w:headerReference r:id="rId7" w:type="first"/>
      <w:footerReference r:id="rId10" w:type="first"/>
      <w:headerReference r:id="rId5" w:type="default"/>
      <w:footerReference r:id="rId8" w:type="default"/>
      <w:headerReference r:id="rId6" w:type="even"/>
      <w:footerReference r:id="rId9" w:type="even"/>
      <w:pgSz w:w="16838" w:h="11906" w:orient="landscape"/>
      <w:pgMar w:top="1134" w:right="1134" w:bottom="1134" w:left="1134" w:header="57" w:footer="57"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0D5E2">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8E48A">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FB216">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8B48A">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B7739">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62926">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iNmUyMGZjMDQ0NTU4Nzc0ZDdhZmYzMmY1OGRkZjEifQ=="/>
  </w:docVars>
  <w:rsids>
    <w:rsidRoot w:val="00CC1191"/>
    <w:rsid w:val="000C7F6B"/>
    <w:rsid w:val="000E6D98"/>
    <w:rsid w:val="00110654"/>
    <w:rsid w:val="001140EF"/>
    <w:rsid w:val="00124973"/>
    <w:rsid w:val="00126237"/>
    <w:rsid w:val="0015371A"/>
    <w:rsid w:val="0015568C"/>
    <w:rsid w:val="0016670E"/>
    <w:rsid w:val="0017059E"/>
    <w:rsid w:val="001B472D"/>
    <w:rsid w:val="001C1050"/>
    <w:rsid w:val="001C156A"/>
    <w:rsid w:val="00287332"/>
    <w:rsid w:val="002C462F"/>
    <w:rsid w:val="0035456A"/>
    <w:rsid w:val="003B6016"/>
    <w:rsid w:val="00421DF8"/>
    <w:rsid w:val="004D1208"/>
    <w:rsid w:val="004D43C9"/>
    <w:rsid w:val="00500F24"/>
    <w:rsid w:val="0055669B"/>
    <w:rsid w:val="00587D24"/>
    <w:rsid w:val="005D0A35"/>
    <w:rsid w:val="00646ECD"/>
    <w:rsid w:val="006557F3"/>
    <w:rsid w:val="007321E7"/>
    <w:rsid w:val="007462CD"/>
    <w:rsid w:val="007875D0"/>
    <w:rsid w:val="00795380"/>
    <w:rsid w:val="008E481B"/>
    <w:rsid w:val="00953187"/>
    <w:rsid w:val="009D3FAC"/>
    <w:rsid w:val="009F08CF"/>
    <w:rsid w:val="00A51BE6"/>
    <w:rsid w:val="00A64BC1"/>
    <w:rsid w:val="00A65857"/>
    <w:rsid w:val="00A721D4"/>
    <w:rsid w:val="00AB0DA4"/>
    <w:rsid w:val="00AE75AC"/>
    <w:rsid w:val="00B84FA2"/>
    <w:rsid w:val="00BB5310"/>
    <w:rsid w:val="00BF39D0"/>
    <w:rsid w:val="00C73532"/>
    <w:rsid w:val="00CA661D"/>
    <w:rsid w:val="00CC1191"/>
    <w:rsid w:val="00D1337D"/>
    <w:rsid w:val="00D60336"/>
    <w:rsid w:val="00D8103F"/>
    <w:rsid w:val="00D95819"/>
    <w:rsid w:val="00DA23B7"/>
    <w:rsid w:val="00DF55BE"/>
    <w:rsid w:val="00E02738"/>
    <w:rsid w:val="00E21A79"/>
    <w:rsid w:val="00E24133"/>
    <w:rsid w:val="00E452C5"/>
    <w:rsid w:val="00E939F0"/>
    <w:rsid w:val="0C8F602E"/>
    <w:rsid w:val="16C9354B"/>
    <w:rsid w:val="19114F77"/>
    <w:rsid w:val="1D536E88"/>
    <w:rsid w:val="20585C05"/>
    <w:rsid w:val="22BA0D34"/>
    <w:rsid w:val="25A35921"/>
    <w:rsid w:val="2A7D4334"/>
    <w:rsid w:val="42582E81"/>
    <w:rsid w:val="494644B1"/>
    <w:rsid w:val="54342B33"/>
    <w:rsid w:val="5B0F5D9A"/>
    <w:rsid w:val="5ED72B3A"/>
    <w:rsid w:val="60B02341"/>
    <w:rsid w:val="63B07B78"/>
    <w:rsid w:val="6AE95D29"/>
    <w:rsid w:val="766C7799"/>
    <w:rsid w:val="7D084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13"/>
    <w:qFormat/>
    <w:uiPriority w:val="9"/>
    <w:pPr>
      <w:keepNext/>
      <w:keepLines/>
      <w:jc w:val="center"/>
      <w:outlineLvl w:val="0"/>
    </w:pPr>
    <w:rPr>
      <w:rFonts w:eastAsia="方正小标宋简体"/>
      <w:bCs/>
      <w:kern w:val="44"/>
      <w:sz w:val="44"/>
      <w:szCs w:val="44"/>
    </w:rPr>
  </w:style>
  <w:style w:type="paragraph" w:styleId="3">
    <w:name w:val="heading 2"/>
    <w:basedOn w:val="1"/>
    <w:next w:val="1"/>
    <w:link w:val="14"/>
    <w:unhideWhenUsed/>
    <w:qFormat/>
    <w:uiPriority w:val="9"/>
    <w:pPr>
      <w:keepNext/>
      <w:keepLines/>
      <w:ind w:firstLine="641"/>
      <w:outlineLvl w:val="1"/>
    </w:pPr>
    <w:rPr>
      <w:rFonts w:eastAsia="黑体" w:asciiTheme="majorHAnsi" w:hAnsiTheme="majorHAnsi" w:cstheme="majorBidi"/>
      <w:bCs/>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15"/>
    <w:semiHidden/>
    <w:unhideWhenUsed/>
    <w:qFormat/>
    <w:uiPriority w:val="99"/>
    <w:pPr>
      <w:widowControl w:val="0"/>
      <w:spacing w:line="360" w:lineRule="auto"/>
      <w:ind w:firstLine="480" w:firstLineChars="200"/>
      <w:jc w:val="both"/>
    </w:pPr>
    <w:rPr>
      <w:rFonts w:hint="eastAsia" w:ascii="仿宋_GB2312" w:eastAsia="宋体" w:cs="Times New Roman"/>
      <w:sz w:val="24"/>
      <w:szCs w:val="20"/>
    </w:rPr>
  </w:style>
  <w:style w:type="paragraph" w:styleId="5">
    <w:name w:val="footer"/>
    <w:basedOn w:val="1"/>
    <w:link w:val="12"/>
    <w:unhideWhenUsed/>
    <w:qFormat/>
    <w:uiPriority w:val="99"/>
    <w:pPr>
      <w:tabs>
        <w:tab w:val="center" w:pos="4153"/>
        <w:tab w:val="right" w:pos="8306"/>
      </w:tabs>
      <w:snapToGrid w:val="0"/>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pPr>
    <w:rPr>
      <w:sz w:val="18"/>
      <w:szCs w:val="18"/>
    </w:rPr>
  </w:style>
  <w:style w:type="paragraph" w:styleId="7">
    <w:name w:val="Normal (Web)"/>
    <w:basedOn w:val="1"/>
    <w:semiHidden/>
    <w:unhideWhenUsed/>
    <w:qFormat/>
    <w:uiPriority w:val="99"/>
    <w:rPr>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标题 1 字符"/>
    <w:basedOn w:val="10"/>
    <w:link w:val="2"/>
    <w:qFormat/>
    <w:uiPriority w:val="9"/>
    <w:rPr>
      <w:rFonts w:eastAsia="方正小标宋简体"/>
      <w:bCs/>
      <w:kern w:val="44"/>
      <w:sz w:val="44"/>
      <w:szCs w:val="44"/>
    </w:rPr>
  </w:style>
  <w:style w:type="character" w:customStyle="1" w:styleId="14">
    <w:name w:val="标题 2 字符"/>
    <w:basedOn w:val="10"/>
    <w:link w:val="3"/>
    <w:qFormat/>
    <w:uiPriority w:val="9"/>
    <w:rPr>
      <w:rFonts w:eastAsia="黑体" w:asciiTheme="majorHAnsi" w:hAnsiTheme="majorHAnsi" w:cstheme="majorBidi"/>
      <w:bCs/>
      <w:szCs w:val="32"/>
    </w:rPr>
  </w:style>
  <w:style w:type="character" w:customStyle="1" w:styleId="15">
    <w:name w:val="纯文本 字符"/>
    <w:basedOn w:val="10"/>
    <w:link w:val="4"/>
    <w:qFormat/>
    <w:uiPriority w:val="0"/>
    <w:rPr>
      <w:rFonts w:hint="eastAsia" w:ascii="仿宋_GB2312" w:eastAsia="仿宋_GB2312" w:cs="仿宋_GB2312"/>
      <w:kern w:val="2"/>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1697</Words>
  <Characters>3531</Characters>
  <Lines>9</Lines>
  <Paragraphs>2</Paragraphs>
  <TotalTime>8</TotalTime>
  <ScaleCrop>false</ScaleCrop>
  <LinksUpToDate>false</LinksUpToDate>
  <CharactersWithSpaces>3842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2019-12-02T11:23:00Z</dcterms:created>
  <dc:creator>李昕然</dc:creator>
  <cp:lastModifiedBy>周策凡</cp:lastModifiedBy>
  <cp:lastPrinted>2019-12-03T02:10:00Z</cp:lastPrinted>
  <dcterms:modified xsi:type="dcterms:W3CDTF">2026-03-24T01:58:14Z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99D4571B46BB47FBAD8427C37F9DBF44_13</vt:lpwstr>
  </property>
  <property fmtid="{D5CDD505-2E9C-101B-9397-08002B2CF9AE}" pid="4" name="KSOTemplateDocerSaveRecord">
    <vt:lpwstr>eyJoZGlkIjoiZjM3MWI3NzVhYTE2Y2MxZmFhMTE0MTcyZjk4Njk3YzMiLCJ1c2VySWQiOiIxNzcyNjE2NzY0In0=</vt:lpwstr>
  </property>
</Properties>
</file>